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0A904AD9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C9411B1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4110"/>
      </w:tblGrid>
      <w:tr w:rsidR="00212C1D" w:rsidRPr="00E92143" w14:paraId="76EFAE00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3777A03D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F12584" w:rsidRPr="00E92143" w14:paraId="467E624E" w14:textId="77777777" w:rsidTr="00F12584">
        <w:trPr>
          <w:trHeight w:val="251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B6AAD11" w14:textId="6A2EDDFC" w:rsidR="00F12584" w:rsidRPr="00E92143" w:rsidRDefault="00F12584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 Não localizado item semelhante no catálogo.</w:t>
            </w:r>
          </w:p>
        </w:tc>
      </w:tr>
    </w:tbl>
    <w:p w14:paraId="3BFE1EA6" w14:textId="7A896EA4" w:rsidR="00F12584" w:rsidRPr="00F12584" w:rsidRDefault="0009247B" w:rsidP="0009247B">
      <w:pPr>
        <w:widowControl w:val="0"/>
        <w:shd w:val="clear" w:color="auto" w:fill="F2F2F2" w:themeFill="background1" w:themeFillShade="F2"/>
        <w:autoSpaceDE w:val="0"/>
        <w:autoSpaceDN w:val="0"/>
        <w:spacing w:before="240" w:after="240" w:line="276" w:lineRule="auto"/>
        <w:ind w:right="-2" w:firstLine="0"/>
        <w:contextualSpacing w:val="0"/>
        <w:rPr>
          <w:rFonts w:eastAsia="Tahoma" w:cs="Tahoma"/>
          <w:bCs/>
          <w:szCs w:val="18"/>
          <w:lang w:val="pt-PT"/>
        </w:rPr>
      </w:pPr>
      <w:r w:rsidRPr="0009247B">
        <w:rPr>
          <w:rFonts w:eastAsia="Tahoma" w:cs="Tahoma"/>
          <w:bCs/>
          <w:szCs w:val="18"/>
          <w:lang w:val="pt-PT"/>
        </w:rPr>
        <w:t>Contratação de empresa visando a aquisição de equipamentos de informática, como nobreaks e monitores para a Secretaria Municipal de Administração, Planejamento e Finanças, microcomputadores para a Secretaria Municipal de Agricultura, Meio Ambiente e Desenvolvimento Econômico, e notebook para o Gabinete do Prefeito, com o objetivo de melhorar e aprimorar a estrutura tecnológica dos prédios públicos do Município de Imigrante/RS.</w:t>
      </w:r>
    </w:p>
    <w:tbl>
      <w:tblPr>
        <w:tblpPr w:leftFromText="141" w:rightFromText="141" w:vertAnchor="text" w:tblpXSpec="center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5107"/>
        <w:gridCol w:w="533"/>
        <w:gridCol w:w="993"/>
        <w:gridCol w:w="1593"/>
        <w:gridCol w:w="1559"/>
      </w:tblGrid>
      <w:tr w:rsidR="00F12584" w:rsidRPr="00F12584" w14:paraId="112DC730" w14:textId="77777777" w:rsidTr="00F12584">
        <w:trPr>
          <w:trHeight w:val="274"/>
        </w:trPr>
        <w:tc>
          <w:tcPr>
            <w:tcW w:w="558" w:type="dxa"/>
            <w:shd w:val="clear" w:color="000000" w:fill="E7E6E6"/>
            <w:vAlign w:val="center"/>
          </w:tcPr>
          <w:p w14:paraId="1EEAA5C4" w14:textId="77777777" w:rsidR="00F12584" w:rsidRPr="00F12584" w:rsidRDefault="00F12584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5107" w:type="dxa"/>
            <w:shd w:val="clear" w:color="000000" w:fill="E7E6E6"/>
            <w:vAlign w:val="center"/>
          </w:tcPr>
          <w:p w14:paraId="2AE6136A" w14:textId="77777777" w:rsidR="00F12584" w:rsidRPr="00F12584" w:rsidRDefault="00F12584" w:rsidP="00F12584">
            <w:pPr>
              <w:spacing w:after="0" w:line="276" w:lineRule="auto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533" w:type="dxa"/>
            <w:shd w:val="clear" w:color="000000" w:fill="E7E6E6"/>
            <w:vAlign w:val="center"/>
          </w:tcPr>
          <w:p w14:paraId="5783A0B9" w14:textId="77777777" w:rsidR="00F12584" w:rsidRPr="00F12584" w:rsidRDefault="00F12584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Qtd.</w:t>
            </w:r>
          </w:p>
        </w:tc>
        <w:tc>
          <w:tcPr>
            <w:tcW w:w="993" w:type="dxa"/>
            <w:shd w:val="clear" w:color="000000" w:fill="E7E6E6"/>
            <w:vAlign w:val="center"/>
          </w:tcPr>
          <w:p w14:paraId="6FB9C387" w14:textId="77777777" w:rsidR="00F12584" w:rsidRPr="00F12584" w:rsidRDefault="00F12584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Unidade </w:t>
            </w:r>
          </w:p>
        </w:tc>
        <w:tc>
          <w:tcPr>
            <w:tcW w:w="1593" w:type="dxa"/>
            <w:shd w:val="clear" w:color="000000" w:fill="E7E6E6"/>
            <w:vAlign w:val="center"/>
          </w:tcPr>
          <w:p w14:paraId="448F0894" w14:textId="77777777" w:rsidR="00F12584" w:rsidRPr="00F12584" w:rsidRDefault="00F12584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Valor Unitário </w:t>
            </w:r>
          </w:p>
        </w:tc>
        <w:tc>
          <w:tcPr>
            <w:tcW w:w="1559" w:type="dxa"/>
            <w:shd w:val="clear" w:color="000000" w:fill="E7E6E6"/>
            <w:vAlign w:val="center"/>
          </w:tcPr>
          <w:p w14:paraId="3E48FD64" w14:textId="77777777" w:rsidR="00F12584" w:rsidRPr="00F12584" w:rsidRDefault="00F12584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Valor Total</w:t>
            </w:r>
          </w:p>
        </w:tc>
      </w:tr>
      <w:tr w:rsidR="00F12584" w:rsidRPr="00F12584" w14:paraId="2EE352D6" w14:textId="77777777" w:rsidTr="00F12584">
        <w:trPr>
          <w:trHeight w:val="870"/>
        </w:trPr>
        <w:tc>
          <w:tcPr>
            <w:tcW w:w="558" w:type="dxa"/>
            <w:noWrap/>
            <w:vAlign w:val="center"/>
          </w:tcPr>
          <w:p w14:paraId="243F3875" w14:textId="77777777" w:rsidR="00F12584" w:rsidRPr="00F12584" w:rsidRDefault="00F12584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01</w:t>
            </w:r>
          </w:p>
        </w:tc>
        <w:tc>
          <w:tcPr>
            <w:tcW w:w="5107" w:type="dxa"/>
          </w:tcPr>
          <w:p w14:paraId="2865A6F0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NOBREAK ESTAÇÕES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br/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Requisitos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:</w:t>
            </w:r>
          </w:p>
          <w:p w14:paraId="5EC21522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Potência: 1200VA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br/>
              <w:t>Quantidade de tomadas: 08 unidades padrão NBR 14136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br/>
              <w:t>Tensão de entrada: bivolt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br/>
              <w:t>Tensão de saída: 110v Autonomia: 55 minutos</w:t>
            </w:r>
          </w:p>
        </w:tc>
        <w:tc>
          <w:tcPr>
            <w:tcW w:w="533" w:type="dxa"/>
            <w:noWrap/>
            <w:vAlign w:val="center"/>
          </w:tcPr>
          <w:p w14:paraId="56B1B249" w14:textId="77777777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10</w:t>
            </w:r>
          </w:p>
        </w:tc>
        <w:tc>
          <w:tcPr>
            <w:tcW w:w="993" w:type="dxa"/>
            <w:noWrap/>
            <w:vAlign w:val="center"/>
          </w:tcPr>
          <w:p w14:paraId="7A117ACD" w14:textId="77777777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593" w:type="dxa"/>
            <w:vAlign w:val="center"/>
          </w:tcPr>
          <w:p w14:paraId="0BA0F3FA" w14:textId="1310756A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 w:rsidR="00163CE9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899,00</w:t>
            </w:r>
          </w:p>
        </w:tc>
        <w:tc>
          <w:tcPr>
            <w:tcW w:w="1559" w:type="dxa"/>
            <w:vAlign w:val="center"/>
          </w:tcPr>
          <w:p w14:paraId="38BC67B5" w14:textId="4DFDA916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 w:rsidR="00163CE9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8.990,00</w:t>
            </w:r>
          </w:p>
        </w:tc>
      </w:tr>
      <w:tr w:rsidR="00F12584" w:rsidRPr="00F12584" w14:paraId="2D18A92E" w14:textId="77777777" w:rsidTr="00F12584">
        <w:trPr>
          <w:trHeight w:val="397"/>
        </w:trPr>
        <w:tc>
          <w:tcPr>
            <w:tcW w:w="558" w:type="dxa"/>
            <w:noWrap/>
            <w:vAlign w:val="center"/>
          </w:tcPr>
          <w:p w14:paraId="61EDAB8A" w14:textId="77777777" w:rsidR="00F12584" w:rsidRPr="00F12584" w:rsidRDefault="00F12584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02</w:t>
            </w:r>
          </w:p>
        </w:tc>
        <w:tc>
          <w:tcPr>
            <w:tcW w:w="5107" w:type="dxa"/>
          </w:tcPr>
          <w:p w14:paraId="75DAB821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MONITOR</w:t>
            </w:r>
          </w:p>
          <w:p w14:paraId="62D6B283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u w:val="single"/>
                <w:lang w:val="en-US" w:eastAsia="pt-BR"/>
              </w:rPr>
            </w:pPr>
            <w:r w:rsidRPr="00F12584">
              <w:rPr>
                <w:rFonts w:eastAsia="SimSun" w:cs="Tahoma"/>
                <w:b/>
                <w:color w:val="000000"/>
                <w:sz w:val="16"/>
                <w:szCs w:val="16"/>
                <w:lang w:eastAsia="pt-BR"/>
              </w:rPr>
              <w:t xml:space="preserve">Modelo de Referência: 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Monitor LED 21,5" HP P22A G5 Full HD IPS</w:t>
            </w:r>
          </w:p>
          <w:p w14:paraId="618B346A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Requisitos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:</w:t>
            </w:r>
          </w:p>
          <w:p w14:paraId="3466A4C5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Tamanho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: no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21,5″ LED Full HD IPS</w:t>
            </w:r>
          </w:p>
          <w:p w14:paraId="60CBE05F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Relação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Contraste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: 1000:1</w:t>
            </w:r>
          </w:p>
          <w:p w14:paraId="086B8F4E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Tempo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Resposta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: no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GtG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5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(com overdrive)</w:t>
            </w:r>
          </w:p>
          <w:p w14:paraId="2165614E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Resolução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: FHD (1920 x 1080)</w:t>
            </w:r>
          </w:p>
          <w:p w14:paraId="4952A921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Características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mínimas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do Visor: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Controles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na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tela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;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Rotação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em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pivô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; Modo de luz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azul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baixa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;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Antirreflexo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; Altura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ajustável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.</w:t>
            </w:r>
          </w:p>
          <w:p w14:paraId="032F2EE2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Conectores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: HDMI, VGA, Display Port</w:t>
            </w:r>
          </w:p>
          <w:p w14:paraId="44264A0D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Consumo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: 54 W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máximo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), 15 W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típico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), 0,5 W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estado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espera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)</w:t>
            </w:r>
          </w:p>
          <w:p w14:paraId="0BF3A62D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Furação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para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Suporte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Parede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: Vesa (100 x 100 mm)</w:t>
            </w:r>
          </w:p>
          <w:p w14:paraId="1D3AC179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Alimentação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: 100 – 240 VCA, 50/60 Hz</w:t>
            </w:r>
          </w:p>
        </w:tc>
        <w:tc>
          <w:tcPr>
            <w:tcW w:w="533" w:type="dxa"/>
            <w:noWrap/>
            <w:vAlign w:val="center"/>
          </w:tcPr>
          <w:p w14:paraId="721D107A" w14:textId="77777777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14</w:t>
            </w:r>
          </w:p>
        </w:tc>
        <w:tc>
          <w:tcPr>
            <w:tcW w:w="993" w:type="dxa"/>
            <w:noWrap/>
            <w:vAlign w:val="center"/>
          </w:tcPr>
          <w:p w14:paraId="600E0A22" w14:textId="77777777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Unidade</w:t>
            </w:r>
            <w:proofErr w:type="spellEnd"/>
          </w:p>
        </w:tc>
        <w:tc>
          <w:tcPr>
            <w:tcW w:w="1593" w:type="dxa"/>
            <w:vAlign w:val="center"/>
          </w:tcPr>
          <w:p w14:paraId="15A7B743" w14:textId="5C50BF26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 w:rsidR="00163CE9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955,00</w:t>
            </w:r>
          </w:p>
        </w:tc>
        <w:tc>
          <w:tcPr>
            <w:tcW w:w="1559" w:type="dxa"/>
            <w:vAlign w:val="center"/>
          </w:tcPr>
          <w:p w14:paraId="5E2E30F2" w14:textId="4758AA66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 w:rsidR="00163CE9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13.370,00</w:t>
            </w:r>
          </w:p>
        </w:tc>
      </w:tr>
      <w:tr w:rsidR="00F12584" w:rsidRPr="00F12584" w14:paraId="2FC972AA" w14:textId="77777777" w:rsidTr="00F12584">
        <w:trPr>
          <w:trHeight w:val="397"/>
        </w:trPr>
        <w:tc>
          <w:tcPr>
            <w:tcW w:w="558" w:type="dxa"/>
            <w:noWrap/>
            <w:vAlign w:val="center"/>
          </w:tcPr>
          <w:p w14:paraId="261F0774" w14:textId="77777777" w:rsidR="00F12584" w:rsidRPr="00F12584" w:rsidRDefault="00F12584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11</w:t>
            </w:r>
          </w:p>
        </w:tc>
        <w:tc>
          <w:tcPr>
            <w:tcW w:w="5107" w:type="dxa"/>
          </w:tcPr>
          <w:p w14:paraId="0F6DBA65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MICROCOMPUTADOR CORPORATIVO</w:t>
            </w:r>
          </w:p>
          <w:p w14:paraId="7F947294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Modelo</w:t>
            </w:r>
            <w:proofErr w:type="spellEnd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Referência</w:t>
            </w:r>
            <w:proofErr w:type="spellEnd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: 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Lenovo ThinkCentre M70q</w:t>
            </w:r>
          </w:p>
          <w:p w14:paraId="7CFC9950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Requisitos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:</w:t>
            </w:r>
          </w:p>
          <w:p w14:paraId="01929484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PROCESSADOR:</w:t>
            </w:r>
          </w:p>
          <w:p w14:paraId="6F584891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no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12 (doze)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núcleos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(cores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ou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compute cores), clock de no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3.3GHz,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seja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via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frequência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turbo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ou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não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; </w:t>
            </w:r>
          </w:p>
          <w:p w14:paraId="28E4E0DC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Deverá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ser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projetado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em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arquitetura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padrão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X86 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executar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instruções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64 bits;  </w:t>
            </w:r>
          </w:p>
          <w:p w14:paraId="6F931270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MEMÓRIA RAM:</w:t>
            </w:r>
          </w:p>
          <w:p w14:paraId="78374D91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padrão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SODIMM DDR4-2133 MHz; </w:t>
            </w:r>
          </w:p>
          <w:p w14:paraId="7CA7AFAE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capacidade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instalada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08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oito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) gigabytes; </w:t>
            </w:r>
          </w:p>
          <w:p w14:paraId="480B97BA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permitir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expansão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memória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para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até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32GB. </w:t>
            </w:r>
          </w:p>
          <w:p w14:paraId="7FC89B99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PLACA MÃE:</w:t>
            </w:r>
          </w:p>
          <w:p w14:paraId="4E064567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ser do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mesmo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fabricante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microcomputador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ou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comprovadamente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em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regime OEM,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não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sendo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aceito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emprego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placas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livre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comercialização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no mercado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varejo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consumidor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. </w:t>
            </w:r>
          </w:p>
          <w:p w14:paraId="61A14DF8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no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1 (um)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conector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para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saída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áudio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; </w:t>
            </w:r>
          </w:p>
          <w:p w14:paraId="0438FCDD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Deverá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5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cinco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)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portas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USB,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sendo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no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míimo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02(duas)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portas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USB 3.0; </w:t>
            </w:r>
          </w:p>
          <w:p w14:paraId="19494EA1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lastRenderedPageBreak/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1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uma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) porta RJ-45 para interface de rede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padrão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Gigabit Ethernet;</w:t>
            </w:r>
          </w:p>
          <w:p w14:paraId="2C5A2DA3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1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uma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) interface wireless(a/b/g/n); </w:t>
            </w:r>
          </w:p>
          <w:p w14:paraId="1A959411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no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2 (duas)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conexões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para monitor,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sendo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1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uma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) HDMI e 1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uma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) DP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ou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VGA. </w:t>
            </w:r>
          </w:p>
          <w:p w14:paraId="775E1F72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DISCOS RÍGIDOS: 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SSDs NVMe M.2 com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capacidade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256 GB; </w:t>
            </w:r>
          </w:p>
          <w:p w14:paraId="70E95F5B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PROCESSAMENTO GRAFICO (INTERFACE DE VIDEO):</w:t>
            </w:r>
          </w:p>
          <w:p w14:paraId="43FC2B82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Unidade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processamento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gráfico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integrada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suportar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resoluções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em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padrão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4K. </w:t>
            </w:r>
          </w:p>
          <w:p w14:paraId="3C1DE109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ÁUDIO</w:t>
            </w:r>
          </w:p>
          <w:p w14:paraId="614EE2B2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ser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compatível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com as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especificações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padrão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aberto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HD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Áudio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. </w:t>
            </w:r>
          </w:p>
          <w:p w14:paraId="2A5BAAFF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GABINETE:</w:t>
            </w:r>
          </w:p>
          <w:p w14:paraId="19BBB46F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ser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padrão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Micro/Mini Small Form Factor; </w:t>
            </w:r>
          </w:p>
          <w:p w14:paraId="5105B7DA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Permitir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fixação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padrão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VESA de 75mm e 100mm.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Acompanhar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kit para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fixação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. </w:t>
            </w:r>
          </w:p>
          <w:p w14:paraId="636B0281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FONTE </w:t>
            </w:r>
          </w:p>
          <w:p w14:paraId="1B4C06AD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potência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máxima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90 Watts,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Bivolt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;</w:t>
            </w:r>
          </w:p>
          <w:p w14:paraId="4EA8DF55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MONITOR DE VÍDEO </w:t>
            </w:r>
          </w:p>
          <w:p w14:paraId="3F8C9A78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Monitor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deve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ser do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mesmo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fabricante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microcomputador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ofertado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podendo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ser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em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regime OEM; </w:t>
            </w:r>
          </w:p>
          <w:p w14:paraId="100EB83A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tela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100% plana de LED com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tecnologia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IPS 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dimensões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mínimas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21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Polegadas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; </w:t>
            </w:r>
          </w:p>
          <w:p w14:paraId="1FBE3940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resolução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1920 x 1080 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uma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frequência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horizontal de 60Hz; </w:t>
            </w:r>
          </w:p>
          <w:p w14:paraId="5FA71E38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conectores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entrada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nativos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: 01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uma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) entrada com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conector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HDMI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mais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1 (um)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conector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VGA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ou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DP; </w:t>
            </w:r>
          </w:p>
          <w:p w14:paraId="293F3F9C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controles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digitais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externos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frontais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brilho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contraste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posição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horizontal e vertical,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tamanho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horizontal e vertical; </w:t>
            </w:r>
          </w:p>
          <w:p w14:paraId="7A780169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ser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capaz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reconhecer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sinais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controladora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vídeo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gram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para auto</w:t>
            </w:r>
            <w:proofErr w:type="gram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desligamento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economia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energia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elétrica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; </w:t>
            </w:r>
          </w:p>
          <w:p w14:paraId="68DB0CC2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acompanhar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todos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cabos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acessórios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necessários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para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seu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funcionamento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conexão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com 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Microcomputador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sem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utilização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acessórios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ou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adaptadores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; </w:t>
            </w:r>
          </w:p>
          <w:p w14:paraId="368552CE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fonte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alimentação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interna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gabinete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do monitor; </w:t>
            </w:r>
          </w:p>
          <w:p w14:paraId="33C68AFE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tensão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entrada CA 110/220 V a 50-60 Hz, com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seletor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automático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; </w:t>
            </w:r>
          </w:p>
          <w:p w14:paraId="62CF0A2A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furação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para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fixação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padrão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VESA de 75mm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ou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100mm. </w:t>
            </w:r>
          </w:p>
          <w:p w14:paraId="3BC5C992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regulagem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altura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rotação</w:t>
            </w:r>
            <w:proofErr w:type="spellEnd"/>
          </w:p>
          <w:p w14:paraId="2DD2B77D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TECLADO </w:t>
            </w:r>
          </w:p>
          <w:p w14:paraId="07D5FAE6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conectividade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USB; </w:t>
            </w:r>
          </w:p>
          <w:p w14:paraId="3706FDC8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ser do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mesmo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fabricante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microcomputador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ou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fornecido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comprovadamente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sob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contrato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OEM; </w:t>
            </w:r>
          </w:p>
          <w:p w14:paraId="2242AC49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ser Plug and Play. </w:t>
            </w:r>
          </w:p>
          <w:p w14:paraId="72D8430F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ser do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tipo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alfanumérico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estendido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(com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teclado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numérico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),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obedecendo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padrões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disposição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teclas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ABNT2 NBR 10346 e 10347 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incluir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tecla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dedicada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gram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</w:t>
            </w:r>
            <w:proofErr w:type="gram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ativação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do Start Menu do Windows; </w:t>
            </w:r>
          </w:p>
          <w:p w14:paraId="6D918EC8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MOUSE </w:t>
            </w:r>
          </w:p>
          <w:p w14:paraId="041F8413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conectividade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USB; </w:t>
            </w:r>
          </w:p>
          <w:p w14:paraId="481A724B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ser do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mesmo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fabricante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microcomputador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ou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fornecido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comprovadamente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sob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contrato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OEM; </w:t>
            </w:r>
          </w:p>
          <w:p w14:paraId="399F7339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ser Plug and Play. </w:t>
            </w:r>
          </w:p>
          <w:p w14:paraId="35143297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sensor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tipo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óptico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a laser; </w:t>
            </w:r>
          </w:p>
          <w:p w14:paraId="62E59F5F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SOFTWARE </w:t>
            </w:r>
          </w:p>
          <w:p w14:paraId="1E1FFB85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MICROSOFT WINDOWS Professional 11 e/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ou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superior de 64 bits,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pré-instalado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; </w:t>
            </w:r>
          </w:p>
        </w:tc>
        <w:tc>
          <w:tcPr>
            <w:tcW w:w="533" w:type="dxa"/>
            <w:noWrap/>
            <w:vAlign w:val="center"/>
          </w:tcPr>
          <w:p w14:paraId="4C00E865" w14:textId="77777777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lastRenderedPageBreak/>
              <w:t>03</w:t>
            </w:r>
          </w:p>
        </w:tc>
        <w:tc>
          <w:tcPr>
            <w:tcW w:w="993" w:type="dxa"/>
            <w:noWrap/>
            <w:vAlign w:val="center"/>
          </w:tcPr>
          <w:p w14:paraId="59E044AE" w14:textId="77777777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Unidade</w:t>
            </w:r>
            <w:proofErr w:type="spellEnd"/>
          </w:p>
        </w:tc>
        <w:tc>
          <w:tcPr>
            <w:tcW w:w="1593" w:type="dxa"/>
            <w:vAlign w:val="center"/>
          </w:tcPr>
          <w:p w14:paraId="0BB7A6D3" w14:textId="75064912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 w:rsidR="00163CE9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6.189,00</w:t>
            </w:r>
          </w:p>
        </w:tc>
        <w:tc>
          <w:tcPr>
            <w:tcW w:w="1559" w:type="dxa"/>
            <w:vAlign w:val="center"/>
          </w:tcPr>
          <w:p w14:paraId="1F879770" w14:textId="2D714C5B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 w:rsidR="00163CE9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18.567,00</w:t>
            </w:r>
          </w:p>
        </w:tc>
      </w:tr>
      <w:tr w:rsidR="00F12584" w:rsidRPr="00F12584" w14:paraId="30B5D5DE" w14:textId="77777777" w:rsidTr="00F12584">
        <w:trPr>
          <w:trHeight w:val="397"/>
        </w:trPr>
        <w:tc>
          <w:tcPr>
            <w:tcW w:w="558" w:type="dxa"/>
            <w:noWrap/>
            <w:vAlign w:val="center"/>
          </w:tcPr>
          <w:p w14:paraId="5E40A877" w14:textId="77777777" w:rsidR="00F12584" w:rsidRPr="00F12584" w:rsidRDefault="00F12584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13</w:t>
            </w:r>
          </w:p>
        </w:tc>
        <w:tc>
          <w:tcPr>
            <w:tcW w:w="5107" w:type="dxa"/>
          </w:tcPr>
          <w:p w14:paraId="718BCCB9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NOTEBOOK COM TELA TOUCHSCREEN</w:t>
            </w:r>
          </w:p>
          <w:p w14:paraId="1B39B9D7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Modelo</w:t>
            </w:r>
            <w:proofErr w:type="spellEnd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Referência</w:t>
            </w:r>
            <w:proofErr w:type="spellEnd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: 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 xml:space="preserve">Dell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Inspirion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 xml:space="preserve"> 7440 14 | 2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em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 xml:space="preserve"> 1</w:t>
            </w:r>
          </w:p>
          <w:p w14:paraId="109B1E7D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Requisitos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:</w:t>
            </w:r>
          </w:p>
          <w:p w14:paraId="29ED496C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Processador</w:t>
            </w:r>
            <w:proofErr w:type="spellEnd"/>
          </w:p>
          <w:p w14:paraId="0F268DED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Deve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possuir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no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10-core, cache de 12MB e clock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até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4.60GHz</w:t>
            </w:r>
          </w:p>
          <w:p w14:paraId="551F80D5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Deverá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ser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projetado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em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arquitetura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padrão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X86 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executar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instruções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64 bits</w:t>
            </w:r>
          </w:p>
          <w:p w14:paraId="349E4D03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Sistema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operacional</w:t>
            </w:r>
            <w:proofErr w:type="spellEnd"/>
          </w:p>
          <w:p w14:paraId="37FD3991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lastRenderedPageBreak/>
              <w:t>Windows 11 Home Single Language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português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–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Brasil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)</w:t>
            </w:r>
          </w:p>
          <w:p w14:paraId="0896427A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Placa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vídeo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</w:p>
          <w:p w14:paraId="0780EAC9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Intel® Graphics com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memória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gráfica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compartilhada</w:t>
            </w:r>
            <w:proofErr w:type="spellEnd"/>
          </w:p>
          <w:p w14:paraId="77BBD7CA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Tela de no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mínimo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14", 16:10 FHD+ 1920x1200, WVA, com </w:t>
            </w: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u w:val="single"/>
                <w:lang w:val="en-US" w:eastAsia="pt-BR"/>
              </w:rPr>
              <w:t>touchscreen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antirreflexo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, 250 nits</w:t>
            </w:r>
          </w:p>
          <w:p w14:paraId="7C52581D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Memória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</w:p>
          <w:p w14:paraId="7E0B5AED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8GB DDR5 (1x8GB) 5200MT/s;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Expansível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até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16GB (2 slots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soDIMM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)</w:t>
            </w:r>
          </w:p>
          <w:p w14:paraId="14AC22D2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Armazenamento</w:t>
            </w:r>
            <w:proofErr w:type="spellEnd"/>
          </w:p>
          <w:p w14:paraId="2AC09B59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SSD de 512GB PCIe NVMe M.2</w:t>
            </w:r>
          </w:p>
          <w:p w14:paraId="3A145CA1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Portas</w:t>
            </w:r>
          </w:p>
          <w:p w14:paraId="3A326847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2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portas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USB Type-C® 3.2 de 2ª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geração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(10 Gbit/s) com Power Delivery e DisplayPort™ 1.4</w:t>
            </w:r>
          </w:p>
          <w:p w14:paraId="3AD732D3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2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portas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USB 3.2 Type-A de 1ª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geração</w:t>
            </w:r>
            <w:proofErr w:type="spellEnd"/>
          </w:p>
          <w:p w14:paraId="6CC5A9FB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1 Entrada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áudio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universal</w:t>
            </w:r>
          </w:p>
          <w:p w14:paraId="76170082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1 porta HDMI 1.4</w:t>
            </w:r>
          </w:p>
          <w:p w14:paraId="6B7B8504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Touchpad</w:t>
            </w:r>
          </w:p>
          <w:p w14:paraId="7CAAEC27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Touchpad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precisão</w:t>
            </w:r>
            <w:proofErr w:type="spellEnd"/>
          </w:p>
          <w:p w14:paraId="44327E31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Câmera</w:t>
            </w:r>
            <w:proofErr w:type="spellEnd"/>
          </w:p>
          <w:p w14:paraId="601FF88A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Webcam widescreen FHD (1080p)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integrada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com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matriz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digital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microfone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duplo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redução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ruído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temporal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ativada</w:t>
            </w:r>
            <w:proofErr w:type="spellEnd"/>
          </w:p>
          <w:p w14:paraId="458E9EB3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Wireless </w:t>
            </w:r>
          </w:p>
          <w:p w14:paraId="0B6B0755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Intel® AX211, Wi-Fi 6E (802.11ax) 2x2,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placa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rede wireless com Bluetooth®</w:t>
            </w:r>
          </w:p>
          <w:p w14:paraId="2404F43D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Bateria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principal</w:t>
            </w:r>
          </w:p>
          <w:p w14:paraId="6D1A9004" w14:textId="77777777" w:rsidR="00F12584" w:rsidRPr="00F12584" w:rsidRDefault="00F12584" w:rsidP="000105BE">
            <w:pPr>
              <w:spacing w:after="0" w:line="276" w:lineRule="auto"/>
              <w:ind w:firstLine="0"/>
              <w:contextualSpacing w:val="0"/>
              <w:jc w:val="left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Bateria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4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células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e 54Wh (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integrada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)</w:t>
            </w:r>
          </w:p>
        </w:tc>
        <w:tc>
          <w:tcPr>
            <w:tcW w:w="533" w:type="dxa"/>
            <w:noWrap/>
            <w:vAlign w:val="center"/>
          </w:tcPr>
          <w:p w14:paraId="2F13CAB6" w14:textId="77777777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lastRenderedPageBreak/>
              <w:t>01</w:t>
            </w:r>
          </w:p>
        </w:tc>
        <w:tc>
          <w:tcPr>
            <w:tcW w:w="993" w:type="dxa"/>
            <w:noWrap/>
            <w:vAlign w:val="center"/>
          </w:tcPr>
          <w:p w14:paraId="25547944" w14:textId="77777777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Unidade</w:t>
            </w:r>
            <w:proofErr w:type="spellEnd"/>
          </w:p>
        </w:tc>
        <w:tc>
          <w:tcPr>
            <w:tcW w:w="1593" w:type="dxa"/>
            <w:vAlign w:val="center"/>
          </w:tcPr>
          <w:p w14:paraId="34BCF4AE" w14:textId="2D66FC3A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 w:rsidR="00163CE9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6.749,00</w:t>
            </w:r>
          </w:p>
        </w:tc>
        <w:tc>
          <w:tcPr>
            <w:tcW w:w="1559" w:type="dxa"/>
            <w:vAlign w:val="center"/>
          </w:tcPr>
          <w:p w14:paraId="50037BEB" w14:textId="472E4DAB" w:rsidR="00F12584" w:rsidRPr="00F12584" w:rsidRDefault="00F12584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 w:rsidR="00163CE9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6.749,00</w:t>
            </w:r>
          </w:p>
        </w:tc>
      </w:tr>
      <w:tr w:rsidR="00F12584" w:rsidRPr="00F12584" w14:paraId="3737DFAD" w14:textId="77777777" w:rsidTr="00163CE9">
        <w:trPr>
          <w:trHeight w:val="541"/>
        </w:trPr>
        <w:tc>
          <w:tcPr>
            <w:tcW w:w="10343" w:type="dxa"/>
            <w:gridSpan w:val="6"/>
            <w:shd w:val="clear" w:color="auto" w:fill="F2F2F2" w:themeFill="background1" w:themeFillShade="F2"/>
            <w:vAlign w:val="center"/>
          </w:tcPr>
          <w:p w14:paraId="4ADA63EA" w14:textId="65326498" w:rsidR="00F12584" w:rsidRPr="00F12584" w:rsidRDefault="00F12584" w:rsidP="00163CE9">
            <w:pPr>
              <w:spacing w:after="0" w:line="276" w:lineRule="auto"/>
              <w:ind w:right="211" w:firstLine="0"/>
              <w:contextualSpacing w:val="0"/>
              <w:jc w:val="right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163CE9">
              <w:rPr>
                <w:rFonts w:eastAsia="SimSun" w:cs="Tahoma"/>
                <w:b/>
                <w:bCs/>
                <w:color w:val="000000"/>
                <w:sz w:val="22"/>
                <w:lang w:eastAsia="pt-BR"/>
              </w:rPr>
              <w:t xml:space="preserve">VALOR TOTAL       R$ </w:t>
            </w:r>
            <w:r w:rsidR="00163CE9" w:rsidRPr="00163CE9">
              <w:rPr>
                <w:rFonts w:eastAsia="SimSun" w:cs="Tahoma"/>
                <w:b/>
                <w:bCs/>
                <w:color w:val="000000"/>
                <w:sz w:val="22"/>
                <w:lang w:eastAsia="pt-BR"/>
              </w:rPr>
              <w:t>47.676,00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59F6149C" w:rsidR="00212C1D" w:rsidRPr="00E92143" w:rsidRDefault="00B10466" w:rsidP="00CF22BB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  <w:r w:rsidR="00F12584" w:rsidRPr="00F12584">
              <w:rPr>
                <w:b/>
                <w:bCs/>
                <w:sz w:val="16"/>
                <w:szCs w:val="16"/>
              </w:rPr>
              <w:t xml:space="preserve"> </w:t>
            </w:r>
            <w:r w:rsidR="00212C1D" w:rsidRPr="00F12584">
              <w:rPr>
                <w:b/>
                <w:bCs/>
                <w:sz w:val="16"/>
                <w:szCs w:val="16"/>
              </w:rPr>
              <w:t>dias</w:t>
            </w:r>
            <w:r w:rsidR="00212C1D" w:rsidRPr="00F12584">
              <w:rPr>
                <w:sz w:val="16"/>
                <w:szCs w:val="16"/>
              </w:rPr>
              <w:t xml:space="preserve"> a </w:t>
            </w:r>
            <w:r w:rsidR="00212C1D">
              <w:rPr>
                <w:sz w:val="16"/>
                <w:szCs w:val="16"/>
              </w:rPr>
              <w:t xml:space="preserve">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E92143" w14:paraId="4708D7A3" w14:textId="77777777" w:rsidTr="00CF22BB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Local(</w:t>
            </w:r>
            <w:proofErr w:type="spellStart"/>
            <w:r w:rsidRPr="00E92143">
              <w:rPr>
                <w:sz w:val="16"/>
                <w:szCs w:val="16"/>
              </w:rPr>
              <w:t>is</w:t>
            </w:r>
            <w:proofErr w:type="spellEnd"/>
            <w:r w:rsidRPr="00E92143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28A6F433" w14:textId="77777777" w:rsidTr="00F12584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5458AF7" w14:textId="77777777" w:rsidR="00212C1D" w:rsidRPr="00F12584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F12584">
              <w:rPr>
                <w:b/>
                <w:bCs/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47F1051D" w14:textId="033E5D5C" w:rsidR="00212C1D" w:rsidRPr="00F12584" w:rsidRDefault="00F12584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F12584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5E0C25" w14:textId="77777777" w:rsidR="00212C1D" w:rsidRPr="00F12584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F12584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049C6B" w14:textId="77777777" w:rsidR="00212C1D" w:rsidRPr="00F12584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F12584">
              <w:rPr>
                <w:b/>
                <w:bCs/>
                <w:sz w:val="16"/>
                <w:szCs w:val="16"/>
              </w:rPr>
              <w:t xml:space="preserve">Prefeitura Municipal / Sec. </w:t>
            </w:r>
            <w:proofErr w:type="spellStart"/>
            <w:r w:rsidRPr="00F12584">
              <w:rPr>
                <w:b/>
                <w:bCs/>
                <w:sz w:val="16"/>
                <w:szCs w:val="16"/>
              </w:rPr>
              <w:t>da</w:t>
            </w:r>
            <w:proofErr w:type="spellEnd"/>
            <w:r w:rsidRPr="00F12584">
              <w:rPr>
                <w:b/>
                <w:bCs/>
                <w:sz w:val="16"/>
                <w:szCs w:val="16"/>
              </w:rPr>
              <w:t xml:space="preserve"> Adm. Planej. e Finanças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6F17874" w14:textId="77777777" w:rsidR="00212C1D" w:rsidRPr="00F12584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F12584">
              <w:rPr>
                <w:b/>
                <w:bCs/>
                <w:sz w:val="16"/>
                <w:szCs w:val="16"/>
              </w:rPr>
              <w:t>Rua Castelo Branco, 15 – Centro – Imigrante/RS</w:t>
            </w:r>
          </w:p>
        </w:tc>
      </w:tr>
      <w:tr w:rsidR="00212C1D" w:rsidRPr="00E92143" w14:paraId="47800F04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7F31E52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DF08CE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61989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76C7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79C1A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de Obras e Mobilidade Urbana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B0770D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Fernando Ferrari, 10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0020B7E4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CCE76B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D6BAF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CFF1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061B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911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da Saúde e Assist. Social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24280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 xml:space="preserve">Av. Dr. Ito João </w:t>
            </w:r>
            <w:r>
              <w:rPr>
                <w:sz w:val="16"/>
                <w:szCs w:val="16"/>
              </w:rPr>
              <w:t>S</w:t>
            </w:r>
            <w:r w:rsidRPr="00DC0098">
              <w:rPr>
                <w:sz w:val="16"/>
                <w:szCs w:val="16"/>
              </w:rPr>
              <w:t>nel, 870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16C7BE9D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23B5869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BB5890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4158C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9BD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7F9279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 xml:space="preserve">Unidade Básica de Saúde </w:t>
            </w:r>
            <w:r>
              <w:rPr>
                <w:sz w:val="16"/>
                <w:szCs w:val="16"/>
              </w:rPr>
              <w:t xml:space="preserve">- </w:t>
            </w:r>
            <w:r w:rsidRPr="00DC0098">
              <w:rPr>
                <w:sz w:val="16"/>
                <w:szCs w:val="16"/>
              </w:rPr>
              <w:t>Daltro Filho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123001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Henrique Blum, 150</w:t>
            </w:r>
            <w:r>
              <w:rPr>
                <w:sz w:val="16"/>
                <w:szCs w:val="16"/>
              </w:rPr>
              <w:t xml:space="preserve"> – </w:t>
            </w:r>
            <w:r w:rsidRPr="00C7234A">
              <w:rPr>
                <w:sz w:val="16"/>
                <w:szCs w:val="16"/>
              </w:rPr>
              <w:t>Daltro Filho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1199A14B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7E8465C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DFE92C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012E33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6460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CA2D4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CRAS – Centro de Referência e Assist. Social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838AEE0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 xml:space="preserve">Rua Guilherme Ernesto Lagemann, </w:t>
            </w:r>
            <w:r>
              <w:rPr>
                <w:sz w:val="16"/>
                <w:szCs w:val="16"/>
              </w:rPr>
              <w:t>571 – Centro – Imigrante/RS</w:t>
            </w:r>
          </w:p>
        </w:tc>
      </w:tr>
      <w:tr w:rsidR="00212C1D" w:rsidRPr="00E92143" w14:paraId="69DA0CD7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DCD6C86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C925F2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C1A9E1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E4F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2DBD4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Secretaria da Educação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7836C5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Av. Dr. Ito Joao Snel, 840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17430C78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D2B75CF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38102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88F87B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1367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842EE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EMEF Arco-Íris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508376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Rua Heinrich Brackemeier, 885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5091359A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2421018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701A8C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B73EA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C978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7E6C69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EMEI Arco-Íris (escolinha)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E11EBD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Rua Sete de Setembro, 185</w:t>
            </w:r>
            <w:r>
              <w:rPr>
                <w:sz w:val="16"/>
                <w:szCs w:val="16"/>
              </w:rPr>
              <w:t xml:space="preserve"> – </w:t>
            </w:r>
            <w:r w:rsidRPr="00DC0098">
              <w:rPr>
                <w:sz w:val="16"/>
                <w:szCs w:val="16"/>
              </w:rPr>
              <w:t>Esperança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60DAFBAD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DC22C02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1F4B7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9F5FD0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75E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56A90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EMEI Ciranda de Sonhos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9F85C0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Rua Castelo Branco, 190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36C93B91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F60F76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BC06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43AE72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84DCB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1D1A53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EMEF Santo Antônio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8790C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Rua Guilherme Scheer, 94</w:t>
            </w:r>
            <w:r>
              <w:rPr>
                <w:sz w:val="16"/>
                <w:szCs w:val="16"/>
              </w:rPr>
              <w:t xml:space="preserve"> – </w:t>
            </w:r>
            <w:r w:rsidRPr="00C7234A">
              <w:rPr>
                <w:sz w:val="16"/>
                <w:szCs w:val="16"/>
              </w:rPr>
              <w:t>Daltro Filho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26AA2A09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FF0264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0B9291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028F29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ABA23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3AAE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EMEI Pequeno Mundo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9C14614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Rua Madre Isabel, 324</w:t>
            </w:r>
            <w:r>
              <w:rPr>
                <w:sz w:val="16"/>
                <w:szCs w:val="16"/>
              </w:rPr>
              <w:t xml:space="preserve"> – </w:t>
            </w:r>
            <w:r w:rsidRPr="00C7234A">
              <w:rPr>
                <w:sz w:val="16"/>
                <w:szCs w:val="16"/>
              </w:rPr>
              <w:t>Daltro Filho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1CDDAB5A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1B5AA8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71D27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A52873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CD93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356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EMEF Ernesto Alves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5D08DD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Linha Ernesto Alves</w:t>
            </w:r>
            <w:r w:rsidRPr="00C7234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S/N – </w:t>
            </w:r>
            <w:r w:rsidRPr="00C7234A">
              <w:rPr>
                <w:sz w:val="16"/>
                <w:szCs w:val="16"/>
              </w:rPr>
              <w:t xml:space="preserve">Linha Ernesto Alves </w:t>
            </w:r>
            <w:r>
              <w:rPr>
                <w:sz w:val="16"/>
                <w:szCs w:val="16"/>
              </w:rPr>
              <w:t>– Imigrante/RS</w:t>
            </w:r>
          </w:p>
        </w:tc>
      </w:tr>
      <w:tr w:rsidR="00212C1D" w:rsidRPr="00E92143" w14:paraId="0A81296C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F034B0C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303C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947282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9CC2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1ACA3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Sec. </w:t>
            </w:r>
            <w:proofErr w:type="spellStart"/>
            <w:r>
              <w:rPr>
                <w:sz w:val="16"/>
                <w:szCs w:val="16"/>
              </w:rPr>
              <w:t>Agricult</w:t>
            </w:r>
            <w:proofErr w:type="spellEnd"/>
            <w:r>
              <w:rPr>
                <w:sz w:val="16"/>
                <w:szCs w:val="16"/>
              </w:rPr>
              <w:t xml:space="preserve">., Meio </w:t>
            </w:r>
            <w:proofErr w:type="spellStart"/>
            <w:r>
              <w:rPr>
                <w:sz w:val="16"/>
                <w:szCs w:val="16"/>
              </w:rPr>
              <w:t>Amb</w:t>
            </w:r>
            <w:proofErr w:type="spellEnd"/>
            <w:r>
              <w:rPr>
                <w:sz w:val="16"/>
                <w:szCs w:val="16"/>
              </w:rPr>
              <w:t>. e Des. Econômico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2CC8117" w14:textId="5AC87DC2" w:rsidR="00212C1D" w:rsidRPr="00E92143" w:rsidRDefault="006A52EB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Av. Dr. Ito João Snell, 9</w:t>
            </w:r>
            <w:r w:rsidR="004D27A7">
              <w:rPr>
                <w:sz w:val="16"/>
                <w:szCs w:val="16"/>
              </w:rPr>
              <w:t>85</w:t>
            </w:r>
            <w:r w:rsidR="00212C1D"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11BA538F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1ED473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C90CC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FD0A2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C94B4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6178E1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da Cultura, Desporto e Turismo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67587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Guilherme Ernesto Lagemann, 677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6F8D7AA0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24458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8B3450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62C1B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E95F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BC3B1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Almoxarifado Central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434903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 xml:space="preserve">Rua Castelo Branco, </w:t>
            </w:r>
            <w:r>
              <w:rPr>
                <w:sz w:val="16"/>
                <w:szCs w:val="16"/>
              </w:rPr>
              <w:t>82 – 2º Andar – Centro – Imigrante/RS</w:t>
            </w:r>
          </w:p>
        </w:tc>
      </w:tr>
      <w:tr w:rsidR="00212C1D" w:rsidRPr="00E92143" w14:paraId="4427B93F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F428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 (especificar):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337F10F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2307070F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DE6B534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="00F12584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Outro (especificar </w:t>
            </w:r>
            <w:r w:rsidRPr="00F12584">
              <w:rPr>
                <w:sz w:val="16"/>
                <w:szCs w:val="16"/>
              </w:rPr>
              <w:t>abaixo):</w:t>
            </w:r>
            <w:r w:rsidR="00F12584" w:rsidRPr="00F12584">
              <w:rPr>
                <w:b/>
                <w:bCs/>
                <w:sz w:val="16"/>
                <w:szCs w:val="16"/>
              </w:rPr>
              <w:t xml:space="preserve"> Garantia de fábrica – no mínimo 1 ano.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lastRenderedPageBreak/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381"/>
        <w:gridCol w:w="3827"/>
        <w:gridCol w:w="2126"/>
      </w:tblGrid>
      <w:tr w:rsidR="00212C1D" w:rsidRPr="00E92143" w14:paraId="2213B192" w14:textId="77777777" w:rsidTr="00F12584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5D79776C" w14:textId="03FF040F" w:rsidR="00212C1D" w:rsidRPr="00163CE9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163CE9">
              <w:rPr>
                <w:sz w:val="16"/>
                <w:szCs w:val="16"/>
              </w:rPr>
              <w:t xml:space="preserve">( </w:t>
            </w:r>
            <w:r w:rsidR="00163CE9" w:rsidRPr="00163CE9">
              <w:rPr>
                <w:sz w:val="16"/>
                <w:szCs w:val="16"/>
              </w:rPr>
              <w:t xml:space="preserve"> </w:t>
            </w:r>
            <w:proofErr w:type="gramEnd"/>
            <w:r w:rsidR="00163CE9" w:rsidRPr="00163CE9">
              <w:rPr>
                <w:sz w:val="16"/>
                <w:szCs w:val="16"/>
              </w:rPr>
              <w:t xml:space="preserve"> </w:t>
            </w:r>
            <w:r w:rsidRPr="00163CE9">
              <w:rPr>
                <w:sz w:val="16"/>
                <w:szCs w:val="16"/>
              </w:rPr>
              <w:t xml:space="preserve">) Não se </w:t>
            </w:r>
            <w:r w:rsidR="00F12584" w:rsidRPr="00163CE9">
              <w:rPr>
                <w:sz w:val="16"/>
                <w:szCs w:val="16"/>
              </w:rPr>
              <w:t>a</w:t>
            </w:r>
            <w:r w:rsidRPr="00163CE9">
              <w:rPr>
                <w:sz w:val="16"/>
                <w:szCs w:val="16"/>
              </w:rPr>
              <w:t>plica.</w:t>
            </w:r>
          </w:p>
        </w:tc>
        <w:tc>
          <w:tcPr>
            <w:tcW w:w="8334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163CE9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688FF8BE" w14:textId="7DF83F6C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63CE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163CE9">
        <w:trPr>
          <w:trHeight w:val="244"/>
        </w:trPr>
        <w:tc>
          <w:tcPr>
            <w:tcW w:w="8188" w:type="dxa"/>
            <w:gridSpan w:val="3"/>
            <w:vMerge/>
            <w:shd w:val="clear" w:color="auto" w:fill="F2F2F2" w:themeFill="background1" w:themeFillShade="F2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ACF33B9" w14:textId="3D67C57F" w:rsidR="00212C1D" w:rsidRPr="00163CE9" w:rsidRDefault="00163CE9" w:rsidP="00F1258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163CE9">
              <w:rPr>
                <w:b/>
                <w:bCs/>
                <w:sz w:val="16"/>
                <w:szCs w:val="16"/>
              </w:rPr>
              <w:t>30 dias - 1 mês</w:t>
            </w:r>
          </w:p>
        </w:tc>
      </w:tr>
      <w:tr w:rsidR="00212C1D" w:rsidRPr="00E92143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40C63DF9" w:rsidR="00212C1D" w:rsidRDefault="00212C1D" w:rsidP="00F12584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F12584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49B83D91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 w:rsidRPr="00163CE9">
              <w:rPr>
                <w:sz w:val="16"/>
                <w:szCs w:val="16"/>
              </w:rPr>
              <w:t>e</w:t>
            </w:r>
            <w:r w:rsidRPr="00163CE9">
              <w:rPr>
                <w:sz w:val="16"/>
                <w:szCs w:val="16"/>
              </w:rPr>
              <w:t xml:space="preserve">stimado: R$ </w:t>
            </w:r>
            <w:r w:rsidR="00163CE9" w:rsidRPr="00163CE9">
              <w:rPr>
                <w:sz w:val="16"/>
                <w:szCs w:val="16"/>
              </w:rPr>
              <w:t>46.676,00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40D989FA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48F1B80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62ABFF5D" w:rsidR="00016749" w:rsidRPr="00E92143" w:rsidRDefault="00B41727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75, inciso II, da Lei Federal 14.133/2021.</w:t>
            </w:r>
          </w:p>
        </w:tc>
      </w:tr>
      <w:tr w:rsidR="00016749" w:rsidRPr="00E92143" w14:paraId="2C7193DE" w14:textId="77777777" w:rsidTr="00834A42">
        <w:trPr>
          <w:trHeight w:val="313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6515B3" w14:textId="4818E184" w:rsidR="00834A42" w:rsidRPr="00834A42" w:rsidRDefault="00834A42" w:rsidP="00834A42">
            <w:pPr>
              <w:ind w:firstLine="0"/>
              <w:rPr>
                <w:sz w:val="16"/>
                <w:szCs w:val="16"/>
              </w:rPr>
            </w:pPr>
            <w:r w:rsidRPr="00834A42">
              <w:rPr>
                <w:sz w:val="16"/>
                <w:szCs w:val="16"/>
              </w:rPr>
              <w:t>A Prefeitura Municipal de Imigrante/RS, por meio da Secretaria Municipal de Administração, Planejamento e Finanças</w:t>
            </w:r>
            <w:r>
              <w:rPr>
                <w:sz w:val="16"/>
                <w:szCs w:val="16"/>
              </w:rPr>
              <w:t xml:space="preserve">, </w:t>
            </w:r>
            <w:r w:rsidRPr="00834A42">
              <w:rPr>
                <w:sz w:val="16"/>
                <w:szCs w:val="16"/>
              </w:rPr>
              <w:t>busca promover o aprimoramento da infraestrutura tecnológica dos prédios públicos municipais. Com esse intuito, objetiva a aquisição de equipamentos de informática, incluindo nobreaks, monitores, microcomputadores e notebooks. Estes equipamentos são essenciais para garantir o funcionamento adequado dos serviços públicos prestados à população, melhorando a qualidade do atendimento e a eficiência das atividades realizadas pelas referidas Secretarias e pelo Gabinete do Prefeito.</w:t>
            </w:r>
          </w:p>
          <w:p w14:paraId="45AD3BEC" w14:textId="111A0273" w:rsidR="00834A42" w:rsidRPr="00834A42" w:rsidRDefault="00834A42" w:rsidP="00834A42">
            <w:pPr>
              <w:ind w:firstLine="0"/>
              <w:rPr>
                <w:sz w:val="16"/>
                <w:szCs w:val="16"/>
              </w:rPr>
            </w:pPr>
            <w:r w:rsidRPr="00834A42">
              <w:rPr>
                <w:sz w:val="16"/>
                <w:szCs w:val="16"/>
              </w:rPr>
              <w:t xml:space="preserve">A aquisição dos equipamentos visa a modernização das estruturas tecnológicas, contribuindo para o aumento da capacidade operacional e a segurança no armazenamento e processamento de informações. A contratação é necessária para suprir as necessidades de cada </w:t>
            </w:r>
            <w:r>
              <w:rPr>
                <w:sz w:val="16"/>
                <w:szCs w:val="16"/>
              </w:rPr>
              <w:t>repartição</w:t>
            </w:r>
            <w:r w:rsidRPr="00834A42">
              <w:rPr>
                <w:sz w:val="16"/>
                <w:szCs w:val="16"/>
              </w:rPr>
              <w:t>, sendo que a falta desses equipamentos impactaria diretamente nas atividades e no desempenho dos servidores públicos, comprometendo o bom funcionamento da administração pública municipal.</w:t>
            </w:r>
          </w:p>
          <w:p w14:paraId="5DC8477E" w14:textId="2738D1CF" w:rsidR="00834A42" w:rsidRPr="00834A42" w:rsidRDefault="00834A42" w:rsidP="00834A42">
            <w:pPr>
              <w:ind w:firstLine="0"/>
              <w:rPr>
                <w:sz w:val="16"/>
                <w:szCs w:val="16"/>
              </w:rPr>
            </w:pPr>
            <w:r w:rsidRPr="00834A42">
              <w:rPr>
                <w:sz w:val="16"/>
                <w:szCs w:val="16"/>
              </w:rPr>
              <w:t>A contratação da empresa para aquisição dos referidos equipamentos encontra respaldo no Art. 75, inciso II, da Lei Federal nº 14.133/2021, que estabelece os casos em que a licitação é dispensável. O dispositivo mencionado dispõe que a licitação será dispensável para contratações que envolvam valores inferiores a R$ 50.000,00 (cinquenta mil reais), no caso de outros serviços e compras</w:t>
            </w:r>
            <w:r>
              <w:rPr>
                <w:sz w:val="16"/>
                <w:szCs w:val="16"/>
              </w:rPr>
              <w:t xml:space="preserve">, (Limite atualizado pelo </w:t>
            </w:r>
            <w:r w:rsidRPr="00834A42">
              <w:rPr>
                <w:sz w:val="16"/>
                <w:szCs w:val="16"/>
              </w:rPr>
              <w:t>DECRETO Nº 12.343</w:t>
            </w:r>
            <w:r>
              <w:rPr>
                <w:sz w:val="16"/>
                <w:szCs w:val="16"/>
              </w:rPr>
              <w:t xml:space="preserve">, que está em R$ </w:t>
            </w:r>
            <w:r w:rsidRPr="00834A42">
              <w:rPr>
                <w:sz w:val="16"/>
                <w:szCs w:val="16"/>
              </w:rPr>
              <w:t>R$ 62.725,59</w:t>
            </w:r>
            <w:r>
              <w:rPr>
                <w:sz w:val="16"/>
                <w:szCs w:val="16"/>
              </w:rPr>
              <w:t>).</w:t>
            </w:r>
          </w:p>
          <w:p w14:paraId="26036516" w14:textId="497E19EC" w:rsidR="00834A42" w:rsidRPr="00834A42" w:rsidRDefault="00834A42" w:rsidP="00834A42">
            <w:pPr>
              <w:ind w:firstLine="0"/>
              <w:rPr>
                <w:sz w:val="16"/>
                <w:szCs w:val="16"/>
              </w:rPr>
            </w:pPr>
            <w:r w:rsidRPr="00834A42">
              <w:rPr>
                <w:sz w:val="16"/>
                <w:szCs w:val="16"/>
              </w:rPr>
              <w:t xml:space="preserve">No caso em questão, a aquisição dos equipamentos de informática, cujos valores totais são inferiores </w:t>
            </w:r>
            <w:r>
              <w:rPr>
                <w:sz w:val="16"/>
                <w:szCs w:val="16"/>
              </w:rPr>
              <w:t>ao limite atualizado pelo Decreto supracitado</w:t>
            </w:r>
            <w:r w:rsidRPr="00834A42">
              <w:rPr>
                <w:sz w:val="16"/>
                <w:szCs w:val="16"/>
              </w:rPr>
              <w:t>, se enquadra na hipótese de dispensa de licitação prevista no referido dispositivo legal. Dessa forma, a Administração Municipal de Imigrante/RS, ao realizar a contratação direta, está seguindo a norma legal que permite a dispensa do procedimento licitatório, desde que observados os limites e as condições estabelecidas na Lei nº 14.133/2021.</w:t>
            </w:r>
          </w:p>
          <w:p w14:paraId="0559F964" w14:textId="60E2AED7" w:rsidR="00834A42" w:rsidRPr="00834A42" w:rsidRDefault="00834A42" w:rsidP="00834A42">
            <w:pPr>
              <w:ind w:firstLine="0"/>
              <w:rPr>
                <w:sz w:val="16"/>
                <w:szCs w:val="16"/>
              </w:rPr>
            </w:pPr>
            <w:r w:rsidRPr="00834A42">
              <w:rPr>
                <w:sz w:val="16"/>
                <w:szCs w:val="16"/>
              </w:rPr>
              <w:t>A justificativa para a dispensa de licitação baseia-se na necessidade urgente e essencial de modernização dos equipamentos, de forma a garantir a continuidade dos serviços públicos, sem que haja prejuízo para a qualidade do atendimento à população.</w:t>
            </w:r>
          </w:p>
          <w:p w14:paraId="6505D963" w14:textId="28148B92" w:rsidR="00016749" w:rsidRPr="00E92143" w:rsidRDefault="00834A42" w:rsidP="00834A42">
            <w:pPr>
              <w:ind w:firstLine="0"/>
              <w:rPr>
                <w:sz w:val="16"/>
                <w:szCs w:val="16"/>
              </w:rPr>
            </w:pPr>
            <w:r w:rsidRPr="00834A42">
              <w:rPr>
                <w:sz w:val="16"/>
                <w:szCs w:val="16"/>
              </w:rPr>
              <w:t>A Lei nº 14.133/2021, ao prever a dispensa de licitação para contratações de baixo valor, objetiva simplificar e desburocratizar o processo administrativo, desde que observadas as condições e a necessidade pública de cada contratação. Portanto, a contratação direta sem licitação, no presente caso, está em conformidade com os princípios da administração pública, como a eficiência, economicidade e interesse público, permitindo a melhoria das condições de trabalho dos servidores públicos e a entrega de serviços de qualidade à população.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CA66A8">
        <w:trPr>
          <w:trHeight w:val="1447"/>
        </w:trPr>
        <w:tc>
          <w:tcPr>
            <w:tcW w:w="10314" w:type="dxa"/>
            <w:shd w:val="clear" w:color="auto" w:fill="auto"/>
            <w:vAlign w:val="center"/>
          </w:tcPr>
          <w:p w14:paraId="2ADD246B" w14:textId="77777777" w:rsidR="00CA66A8" w:rsidRDefault="00CA66A8" w:rsidP="00CA66A8">
            <w:pPr>
              <w:ind w:firstLine="0"/>
              <w:rPr>
                <w:sz w:val="16"/>
                <w:szCs w:val="16"/>
              </w:rPr>
            </w:pPr>
            <w:r w:rsidRPr="00CA66A8">
              <w:rPr>
                <w:sz w:val="16"/>
                <w:szCs w:val="16"/>
              </w:rPr>
              <w:t>A contratação de empresa para a aquisição de equipamentos de informática visa atender a necessidades específicas das Secretarias Municipais de Administração, Planejamento e Finanças, de Agricultura, Meio Ambiente e Desenvolvimento Econômico, bem como do Gabinete do Prefeito de Imigrante/RS. O objetivo é melhorar a infraestrutura tecnológica das unidades públicas municipais, proporcionando maior eficiência nos serviços prestados à população e ampliando a capacidade operacional das áreas envolvidas.</w:t>
            </w:r>
            <w:r>
              <w:rPr>
                <w:sz w:val="16"/>
                <w:szCs w:val="16"/>
              </w:rPr>
              <w:t xml:space="preserve"> </w:t>
            </w:r>
          </w:p>
          <w:p w14:paraId="5ECAB478" w14:textId="76CFFF7B" w:rsidR="00CA66A8" w:rsidRPr="00CA66A8" w:rsidRDefault="00CA66A8" w:rsidP="00CA66A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CA66A8">
              <w:rPr>
                <w:sz w:val="16"/>
                <w:szCs w:val="16"/>
              </w:rPr>
              <w:t>erão adquiridos nobreaks para garantir o fornecimento ininterrupto de energia, evitando a perda de dados e interrupções no trabalho</w:t>
            </w:r>
            <w:r>
              <w:rPr>
                <w:sz w:val="16"/>
                <w:szCs w:val="16"/>
              </w:rPr>
              <w:t>, e os m</w:t>
            </w:r>
            <w:r w:rsidRPr="00CA66A8">
              <w:rPr>
                <w:sz w:val="16"/>
                <w:szCs w:val="16"/>
              </w:rPr>
              <w:t>onitores de alta qualidade também serão providenciados para as Secretarias Municipais de Administração, Planejamento e Finanças, assegurando um ambiente de trabalho mais confortável</w:t>
            </w:r>
            <w:r>
              <w:rPr>
                <w:sz w:val="16"/>
                <w:szCs w:val="16"/>
              </w:rPr>
              <w:t xml:space="preserve">, organizado </w:t>
            </w:r>
            <w:r w:rsidRPr="00CA66A8">
              <w:rPr>
                <w:sz w:val="16"/>
                <w:szCs w:val="16"/>
              </w:rPr>
              <w:t>e eficiente.</w:t>
            </w:r>
          </w:p>
          <w:p w14:paraId="6A7597EC" w14:textId="55258428" w:rsidR="00CA66A8" w:rsidRPr="00CA66A8" w:rsidRDefault="00CA66A8" w:rsidP="00CA66A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 m</w:t>
            </w:r>
            <w:r w:rsidRPr="00CA66A8">
              <w:rPr>
                <w:sz w:val="16"/>
                <w:szCs w:val="16"/>
              </w:rPr>
              <w:t>icrocomputadores</w:t>
            </w:r>
            <w:r>
              <w:rPr>
                <w:sz w:val="16"/>
                <w:szCs w:val="16"/>
              </w:rPr>
              <w:t xml:space="preserve"> serão d</w:t>
            </w:r>
            <w:r w:rsidRPr="00CA66A8">
              <w:rPr>
                <w:sz w:val="16"/>
                <w:szCs w:val="16"/>
              </w:rPr>
              <w:t>estinados à Secretaria Municipal de Agricultura, Meio Ambiente e Desenvolvimento Econômico, esses equipamentos serão configurados para atender às necessidades específicas da área, como processamento de dados, gestão de projetos e suporte a softwares especializados na área agrícola e ambiental</w:t>
            </w:r>
            <w:r>
              <w:rPr>
                <w:sz w:val="16"/>
                <w:szCs w:val="16"/>
              </w:rPr>
              <w:t>, tendo em vista que há servidores sem o equipamento nesta repartição.</w:t>
            </w:r>
          </w:p>
          <w:p w14:paraId="2BCFBD65" w14:textId="0E01E21F" w:rsidR="00016749" w:rsidRPr="00E92143" w:rsidRDefault="00CA66A8" w:rsidP="00CA66A8">
            <w:pPr>
              <w:ind w:firstLine="0"/>
              <w:rPr>
                <w:sz w:val="16"/>
                <w:szCs w:val="16"/>
              </w:rPr>
            </w:pPr>
            <w:r w:rsidRPr="00CA66A8">
              <w:rPr>
                <w:sz w:val="16"/>
                <w:szCs w:val="16"/>
              </w:rPr>
              <w:t>Um notebook será adquirido para o Gabinete do Prefeito, visando proporcionar maior mobilidade, flexibilidade e agilidade nas tarefas cotidianas, bem como facilitar o desempenho de atividades externas e reuniões fora do ambiente de trabalho.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lastRenderedPageBreak/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A53756">
        <w:trPr>
          <w:trHeight w:val="1436"/>
        </w:trPr>
        <w:tc>
          <w:tcPr>
            <w:tcW w:w="10314" w:type="dxa"/>
            <w:shd w:val="clear" w:color="auto" w:fill="auto"/>
            <w:vAlign w:val="center"/>
          </w:tcPr>
          <w:p w14:paraId="53664A3E" w14:textId="02EB0586" w:rsidR="00016749" w:rsidRDefault="006B629E" w:rsidP="006B629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empresa deverá entregar os itens delimitados neste termo de referência, nas especificações técnicas descritas, pois os mesmos serão aceitos apenas se forem entregues de acordo com o exigido. </w:t>
            </w:r>
          </w:p>
          <w:p w14:paraId="6E7EDEB9" w14:textId="142F8A22" w:rsidR="006B629E" w:rsidRDefault="006B629E" w:rsidP="006B629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entrega deverá ser realizada em no máximo </w:t>
            </w:r>
            <w:r w:rsidR="00B10466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 dias a contar da assinatura do contrato, ou envio da ordem de compra e/ou empenho. </w:t>
            </w:r>
          </w:p>
          <w:p w14:paraId="7C5E8803" w14:textId="073747E2" w:rsidR="006B629E" w:rsidRDefault="006B629E" w:rsidP="006B629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O local de entrega será: </w:t>
            </w:r>
            <w:r w:rsidRPr="006B629E">
              <w:rPr>
                <w:sz w:val="16"/>
                <w:szCs w:val="16"/>
              </w:rPr>
              <w:t>Rua Castelo Branco, 15 – Centro – Imigrante/RS</w:t>
            </w:r>
            <w:r>
              <w:rPr>
                <w:sz w:val="16"/>
                <w:szCs w:val="16"/>
              </w:rPr>
              <w:t xml:space="preserve"> - </w:t>
            </w:r>
            <w:r w:rsidRPr="006B629E">
              <w:rPr>
                <w:sz w:val="16"/>
                <w:szCs w:val="16"/>
              </w:rPr>
              <w:t xml:space="preserve">Prefeitura Municipal / Sec. </w:t>
            </w:r>
            <w:proofErr w:type="spellStart"/>
            <w:r w:rsidRPr="006B629E">
              <w:rPr>
                <w:sz w:val="16"/>
                <w:szCs w:val="16"/>
              </w:rPr>
              <w:t>da</w:t>
            </w:r>
            <w:proofErr w:type="spellEnd"/>
            <w:r w:rsidRPr="006B629E">
              <w:rPr>
                <w:sz w:val="16"/>
                <w:szCs w:val="16"/>
              </w:rPr>
              <w:t xml:space="preserve"> Adm. Planej. e Finanças</w:t>
            </w:r>
            <w:r>
              <w:rPr>
                <w:sz w:val="16"/>
                <w:szCs w:val="16"/>
              </w:rPr>
              <w:t>.</w:t>
            </w:r>
          </w:p>
          <w:p w14:paraId="28951CF0" w14:textId="2EBE930A" w:rsidR="006B629E" w:rsidRDefault="006B629E" w:rsidP="006B629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entrega e o recebimento dos equipamentos serão acompanhados por um técnico da empresa LINQ, que presta serviços de suporte na área da </w:t>
            </w:r>
            <w:r w:rsidR="00A53756">
              <w:rPr>
                <w:sz w:val="16"/>
                <w:szCs w:val="16"/>
              </w:rPr>
              <w:t>T.I.</w:t>
            </w:r>
          </w:p>
          <w:p w14:paraId="7F64B3E1" w14:textId="77777777" w:rsidR="00A53756" w:rsidRDefault="00A53756" w:rsidP="006B629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Entregar no momento solicitado, as certidões e documentos de habilitação exigidos pela Lei 14.133/2021.</w:t>
            </w:r>
          </w:p>
          <w:p w14:paraId="06B7B4D7" w14:textId="2AF73809" w:rsidR="00B10466" w:rsidRPr="00E92143" w:rsidRDefault="00B10466" w:rsidP="006B629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Apresentar </w:t>
            </w:r>
            <w:r w:rsidRPr="002065ED">
              <w:rPr>
                <w:sz w:val="16"/>
                <w:szCs w:val="16"/>
              </w:rPr>
              <w:t>Comprovação de Capacidade Técnico-Operacional, mediante apresentação de, no mínimo, 1 (um) atestado fornecido por pessoa jurídica de direito público ou privado, para comprovação de que a empresa licitante prestou serviços, em quantidade, qualidade e prazo equivalente ou compatível ao objeto dessa licitação.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311EFBFB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653A83" w:rsidRPr="00E92143" w14:paraId="0B564CB8" w14:textId="77777777" w:rsidTr="00653A83">
        <w:trPr>
          <w:trHeight w:val="85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2F502FBF" w:rsidR="00653A83" w:rsidRPr="00E92143" w:rsidRDefault="00653A83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 - Justificar item(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653A83">
        <w:trPr>
          <w:trHeight w:val="111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0CB5970A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EB4F45">
        <w:trPr>
          <w:trHeight w:val="7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3F824B47" w:rsidR="00C03629" w:rsidRPr="00E9214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0AC1812B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3C8501CC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 xml:space="preserve">, disponibilizada por meio de aplicativos de mensagem eletrônica (Whatsapp®,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55A2CB45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15CFFF0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2065ED" w:rsidRPr="00E92143" w14:paraId="7FA13622" w14:textId="77777777" w:rsidTr="002065ED">
        <w:trPr>
          <w:trHeight w:val="181"/>
        </w:trPr>
        <w:tc>
          <w:tcPr>
            <w:tcW w:w="10314" w:type="dxa"/>
            <w:shd w:val="clear" w:color="auto" w:fill="auto"/>
            <w:vAlign w:val="center"/>
          </w:tcPr>
          <w:p w14:paraId="76BE5A75" w14:textId="0A0C5730" w:rsidR="002065ED" w:rsidRPr="00E92143" w:rsidRDefault="002065E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0166A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EB4F45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512B089B" w14:textId="47D38D4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EB4F45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0166A3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47C00CB4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2DB425F1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65ED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2BF8432B" w:rsidR="00EC1F26" w:rsidRPr="00E92143" w:rsidRDefault="002065ED" w:rsidP="00CF22BB">
            <w:pPr>
              <w:ind w:firstLine="0"/>
              <w:rPr>
                <w:sz w:val="16"/>
                <w:szCs w:val="16"/>
              </w:rPr>
            </w:pPr>
            <w:r w:rsidRPr="002065ED">
              <w:rPr>
                <w:sz w:val="16"/>
                <w:szCs w:val="16"/>
              </w:rPr>
              <w:t>Comprovação de Capacidade Técnico-Operacional, mediante apresentação de, no mínimo, 1 (um) atestado fornecido por pessoa jurídica de direito público ou privado, para comprovação de que a empresa licitante prestou serviços, em quantidade, qualidade e prazo equivalente ou compatível ao objeto dessa licitação.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0166A3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19DFB6A2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2761A3A7" w:rsidR="00EC1F26" w:rsidRPr="00E92143" w:rsidRDefault="002065ED" w:rsidP="00CF22BB">
            <w:pPr>
              <w:ind w:firstLine="0"/>
              <w:rPr>
                <w:sz w:val="16"/>
                <w:szCs w:val="16"/>
              </w:rPr>
            </w:pPr>
            <w:r w:rsidRPr="002065ED">
              <w:rPr>
                <w:sz w:val="16"/>
                <w:szCs w:val="16"/>
              </w:rPr>
              <w:lastRenderedPageBreak/>
              <w:t>Certidão negativa de falência expedida pelo distribuidor da sede da pessoa jurídica, em prazo não superior a 30 (trinta) dias da data designada para a apresentação do documento;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366E3686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3D2E8C12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1258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6D1E25F6" w14:textId="5A046386" w:rsidR="00B70A10" w:rsidRDefault="002D0383" w:rsidP="00B70A10">
      <w:pPr>
        <w:jc w:val="right"/>
      </w:pPr>
      <w:r>
        <w:t xml:space="preserve">Imigrante, </w:t>
      </w:r>
      <w:r w:rsidR="00EB4F45">
        <w:t xml:space="preserve">28 de fevereiro </w:t>
      </w:r>
      <w:r>
        <w:t>de 20</w:t>
      </w:r>
      <w:r w:rsidR="00EB4F45">
        <w:t>25</w:t>
      </w:r>
      <w:r>
        <w:t>.</w:t>
      </w:r>
    </w:p>
    <w:p w14:paraId="2FC4A5B8" w14:textId="77777777" w:rsidR="002065ED" w:rsidRDefault="002065ED" w:rsidP="00B70A10">
      <w:pPr>
        <w:jc w:val="right"/>
      </w:pPr>
    </w:p>
    <w:p w14:paraId="3F438038" w14:textId="77777777" w:rsidR="002065ED" w:rsidRDefault="002065ED" w:rsidP="00B70A10">
      <w:pPr>
        <w:jc w:val="right"/>
      </w:pPr>
    </w:p>
    <w:p w14:paraId="17B04315" w14:textId="77777777" w:rsidR="002065ED" w:rsidRDefault="002065ED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07AE2022" w:rsidR="00F21487" w:rsidRPr="00FD56DE" w:rsidRDefault="00093378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EDSON ADILSO HECK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04459B0A" w14:textId="77777777" w:rsidR="00F21487" w:rsidRDefault="00093378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Secretaria Municipal de Administração, Planejamento e Finanças</w:t>
            </w:r>
          </w:p>
          <w:p w14:paraId="3F671AF6" w14:textId="55DBE15F" w:rsidR="00093378" w:rsidRDefault="00093378" w:rsidP="00CF22BB">
            <w:pPr>
              <w:tabs>
                <w:tab w:val="left" w:pos="1935"/>
              </w:tabs>
              <w:ind w:firstLine="0"/>
              <w:jc w:val="center"/>
            </w:pPr>
            <w:r>
              <w:t>SMAPF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326793">
    <w:abstractNumId w:val="8"/>
  </w:num>
  <w:num w:numId="2" w16cid:durableId="563300678">
    <w:abstractNumId w:val="10"/>
  </w:num>
  <w:num w:numId="3" w16cid:durableId="1114519393">
    <w:abstractNumId w:val="9"/>
  </w:num>
  <w:num w:numId="4" w16cid:durableId="215511173">
    <w:abstractNumId w:val="3"/>
  </w:num>
  <w:num w:numId="5" w16cid:durableId="646738134">
    <w:abstractNumId w:val="1"/>
  </w:num>
  <w:num w:numId="6" w16cid:durableId="1138642914">
    <w:abstractNumId w:val="14"/>
  </w:num>
  <w:num w:numId="7" w16cid:durableId="484467140">
    <w:abstractNumId w:val="18"/>
  </w:num>
  <w:num w:numId="8" w16cid:durableId="431703838">
    <w:abstractNumId w:val="15"/>
  </w:num>
  <w:num w:numId="9" w16cid:durableId="1625115786">
    <w:abstractNumId w:val="19"/>
  </w:num>
  <w:num w:numId="10" w16cid:durableId="1724407547">
    <w:abstractNumId w:val="12"/>
  </w:num>
  <w:num w:numId="11" w16cid:durableId="173887616">
    <w:abstractNumId w:val="17"/>
  </w:num>
  <w:num w:numId="12" w16cid:durableId="1669865952">
    <w:abstractNumId w:val="6"/>
  </w:num>
  <w:num w:numId="13" w16cid:durableId="772827691">
    <w:abstractNumId w:val="4"/>
  </w:num>
  <w:num w:numId="14" w16cid:durableId="1744913770">
    <w:abstractNumId w:val="16"/>
  </w:num>
  <w:num w:numId="15" w16cid:durableId="293213912">
    <w:abstractNumId w:val="13"/>
  </w:num>
  <w:num w:numId="16" w16cid:durableId="1633516420">
    <w:abstractNumId w:val="5"/>
  </w:num>
  <w:num w:numId="17" w16cid:durableId="1124616731">
    <w:abstractNumId w:val="7"/>
  </w:num>
  <w:num w:numId="18" w16cid:durableId="511382917">
    <w:abstractNumId w:val="11"/>
  </w:num>
  <w:num w:numId="19" w16cid:durableId="1019818693">
    <w:abstractNumId w:val="2"/>
  </w:num>
  <w:num w:numId="20" w16cid:durableId="77629553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05BE"/>
    <w:rsid w:val="00011497"/>
    <w:rsid w:val="000126DA"/>
    <w:rsid w:val="000137E9"/>
    <w:rsid w:val="00014D34"/>
    <w:rsid w:val="000166A3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47B"/>
    <w:rsid w:val="0009253A"/>
    <w:rsid w:val="00093378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CE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065ED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5737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A8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29E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4A42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2B1C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4FBA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3756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0466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1727"/>
    <w:rsid w:val="00B531ED"/>
    <w:rsid w:val="00B538FD"/>
    <w:rsid w:val="00B53D14"/>
    <w:rsid w:val="00B54828"/>
    <w:rsid w:val="00B54E5F"/>
    <w:rsid w:val="00B54F86"/>
    <w:rsid w:val="00B5576B"/>
    <w:rsid w:val="00B626BE"/>
    <w:rsid w:val="00B67CD8"/>
    <w:rsid w:val="00B70086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1D30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49FC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6A8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B4F45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6C1F"/>
    <w:rsid w:val="00F072DC"/>
    <w:rsid w:val="00F119AA"/>
    <w:rsid w:val="00F11D25"/>
    <w:rsid w:val="00F123E8"/>
    <w:rsid w:val="00F12584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6</Pages>
  <Words>3399</Words>
  <Characters>18356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29</cp:revision>
  <cp:lastPrinted>2023-02-16T11:55:00Z</cp:lastPrinted>
  <dcterms:created xsi:type="dcterms:W3CDTF">2023-08-02T16:21:00Z</dcterms:created>
  <dcterms:modified xsi:type="dcterms:W3CDTF">2025-03-12T17:25:00Z</dcterms:modified>
</cp:coreProperties>
</file>